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Distribución porcentual económica anual de Fundación Nos Movemos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Año 2019: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40" w:lineRule="auto"/>
        <w:ind w:firstLine="720"/>
        <w:rPr>
          <w:rFonts w:ascii="Times New Roman" w:cs="Times New Roman" w:eastAsia="Times New Roman" w:hAnsi="Times New Roman"/>
          <w:color w:val="444746"/>
          <w:sz w:val="18"/>
          <w:szCs w:val="18"/>
          <w:shd w:fill="f0f4f9" w:val="clear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Basado en la memoria económica del ejercicio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2019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de 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Fundación Canaria Nos Movemos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, aquí se muestra el análisis de los fondos percibidos durante su primer año de actividad (del 26 de julio al 31 de diciembre de 2019 ):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hd w:fill="ffffff" w:val="clear"/>
        <w:spacing w:after="120" w:before="420" w:line="360" w:lineRule="auto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bookmarkStart w:colFirst="0" w:colLast="0" w:name="_8x4mmacmhhq9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Recursos Económicos Percibidos en 2019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7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50"/>
        <w:gridCol w:w="1440"/>
        <w:gridCol w:w="1695"/>
        <w:tblGridChange w:id="0">
          <w:tblGrid>
            <w:gridCol w:w="4650"/>
            <w:gridCol w:w="1440"/>
            <w:gridCol w:w="169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480" w:lineRule="auto"/>
              <w:rPr>
                <w:rFonts w:ascii="Times New Roman" w:cs="Times New Roman" w:eastAsia="Times New Roman" w:hAnsi="Times New Roman"/>
                <w:color w:val="1f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rtl w:val="0"/>
              </w:rPr>
              <w:t xml:space="preserve">Origen del Dinero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480" w:lineRule="auto"/>
              <w:rPr>
                <w:rFonts w:ascii="Times New Roman" w:cs="Times New Roman" w:eastAsia="Times New Roman" w:hAnsi="Times New Roman"/>
                <w:color w:val="1f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rtl w:val="0"/>
              </w:rPr>
              <w:t xml:space="preserve">Importe (€)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480" w:lineRule="auto"/>
              <w:rPr>
                <w:rFonts w:ascii="Times New Roman" w:cs="Times New Roman" w:eastAsia="Times New Roman" w:hAnsi="Times New Roman"/>
                <w:color w:val="1f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rtl w:val="0"/>
              </w:rPr>
              <w:t xml:space="preserve">Porcentaje (%)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480" w:lineRule="auto"/>
              <w:rPr>
                <w:rFonts w:ascii="Times New Roman" w:cs="Times New Roman" w:eastAsia="Times New Roman" w:hAnsi="Times New Roman"/>
                <w:color w:val="1f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rtl w:val="0"/>
              </w:rPr>
              <w:t xml:space="preserve">Dinero Privado (Dotación Fundacional)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rtl w:val="0"/>
              </w:rPr>
              <w:t xml:space="preserve">7.500,00 €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480" w:lineRule="auto"/>
              <w:rPr>
                <w:rFonts w:ascii="Times New Roman" w:cs="Times New Roman" w:eastAsia="Times New Roman" w:hAnsi="Times New Roman"/>
                <w:color w:val="1f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480" w:lineRule="auto"/>
              <w:rPr>
                <w:rFonts w:ascii="Times New Roman" w:cs="Times New Roman" w:eastAsia="Times New Roman" w:hAnsi="Times New Roman"/>
                <w:color w:val="1f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rtl w:val="0"/>
              </w:rPr>
              <w:t xml:space="preserve">Dinero Público (Subvenciones)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rtl w:val="0"/>
              </w:rPr>
              <w:t xml:space="preserve">0,00 €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480" w:lineRule="auto"/>
              <w:rPr>
                <w:rFonts w:ascii="Times New Roman" w:cs="Times New Roman" w:eastAsia="Times New Roman" w:hAnsi="Times New Roman"/>
                <w:color w:val="1f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rtl w:val="0"/>
              </w:rPr>
              <w:t xml:space="preserve">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480" w:lineRule="auto"/>
              <w:rPr>
                <w:rFonts w:ascii="Times New Roman" w:cs="Times New Roman" w:eastAsia="Times New Roman" w:hAnsi="Times New Roman"/>
                <w:color w:val="1f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rtl w:val="0"/>
              </w:rPr>
              <w:t xml:space="preserve">Total Percibido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lineRule="auto"/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rtl w:val="0"/>
              </w:rPr>
              <w:t xml:space="preserve">7.500,00 €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480" w:lineRule="auto"/>
              <w:rPr>
                <w:rFonts w:ascii="Times New Roman" w:cs="Times New Roman" w:eastAsia="Times New Roman" w:hAnsi="Times New Roman"/>
                <w:color w:val="1f1f1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360" w:before="240" w:lineRule="auto"/>
        <w:ind w:left="0" w:firstLine="0"/>
        <w:jc w:val="center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</w:rPr>
        <w:drawing>
          <wp:inline distB="114300" distT="114300" distL="114300" distR="114300">
            <wp:extent cx="4459125" cy="2914650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59125" cy="2914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Año 2020: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240" w:lineRule="auto"/>
        <w:ind w:firstLine="720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Durante el ejercicio 2020, 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Fundación Canaria Nos Movemos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mantuvo una etapa de inactividad operativa derivada del impacto sistémico de la pandemia global por COVID-19. Esta circunstancia excepcional, marcada por las restricciones sanitarias y la parálisis económica generalizada, postergó la implementación de los proyectos fundacionales hasta la estabilización del entorno macroeconómico.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Año 2021: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240" w:lineRule="auto"/>
        <w:ind w:firstLine="720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Basado en la memoria económica del ejercicio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2021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de 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Fundación Canaria Nos Movemos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, aquí se muestra el análisis de los fondos percibidos durante su primer año de actividad (del 1 de enero al 31 de diciembre de 2021):</w:t>
      </w:r>
    </w:p>
    <w:p w:rsidR="00000000" w:rsidDel="00000000" w:rsidP="00000000" w:rsidRDefault="00000000" w:rsidRPr="00000000" w14:paraId="0000001D">
      <w:pPr>
        <w:shd w:fill="ffffff" w:val="clear"/>
        <w:spacing w:after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Recursos Económicos Percibidos en 2021</w:t>
      </w:r>
    </w:p>
    <w:tbl>
      <w:tblPr>
        <w:tblStyle w:val="Table2"/>
        <w:tblW w:w="68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50"/>
        <w:gridCol w:w="1440"/>
        <w:gridCol w:w="1695"/>
        <w:tblGridChange w:id="0">
          <w:tblGrid>
            <w:gridCol w:w="3750"/>
            <w:gridCol w:w="1440"/>
            <w:gridCol w:w="169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Origen del Dinero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Importe (€)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Porcentaje (%)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Dinero Privado (Dotación)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0,00 €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0%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Dinero Público (Subvenciones)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0,00 €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0%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Total Percibido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0,00 €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0%</w:t>
            </w:r>
          </w:p>
        </w:tc>
      </w:tr>
    </w:tbl>
    <w:p w:rsidR="00000000" w:rsidDel="00000000" w:rsidP="00000000" w:rsidRDefault="00000000" w:rsidRPr="00000000" w14:paraId="0000002B">
      <w:pPr>
        <w:shd w:fill="ffffff" w:val="clear"/>
        <w:spacing w:after="360" w:before="240" w:lineRule="auto"/>
        <w:ind w:left="0" w:firstLine="0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hd w:fill="ffffff" w:val="clear"/>
        <w:spacing w:after="120" w:before="420" w:line="360" w:lineRule="auto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bookmarkStart w:colFirst="0" w:colLast="0" w:name="_clysxuseo0x9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Gráfica de Origen de Fondos 2021:</w:t>
      </w:r>
    </w:p>
    <w:p w:rsidR="00000000" w:rsidDel="00000000" w:rsidP="00000000" w:rsidRDefault="00000000" w:rsidRPr="00000000" w14:paraId="0000002D">
      <w:pPr>
        <w:shd w:fill="ffffff" w:val="clear"/>
        <w:spacing w:after="240" w:lineRule="auto"/>
        <w:jc w:val="center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</w:rPr>
        <w:drawing>
          <wp:inline distB="114300" distT="114300" distL="114300" distR="114300">
            <wp:extent cx="4114650" cy="3090863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14650" cy="30908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240" w:lineRule="auto"/>
        <w:ind w:left="0" w:firstLine="0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Año 2022: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240" w:lineRule="auto"/>
        <w:ind w:firstLine="720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Basado en la memoria económica del ejercicio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2022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de 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Fundación Canaria Nos Movemos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, aquí se muestra el análisis de los fondos percibidos durante su primer año de actividad (del 1 de enero al 31 de diciembre de 2022):</w:t>
      </w:r>
    </w:p>
    <w:p w:rsidR="00000000" w:rsidDel="00000000" w:rsidP="00000000" w:rsidRDefault="00000000" w:rsidRPr="00000000" w14:paraId="00000032">
      <w:pPr>
        <w:shd w:fill="ffffff" w:val="clear"/>
        <w:spacing w:after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Recursos Económicos Percibidos en 2022:</w:t>
      </w:r>
    </w:p>
    <w:p w:rsidR="00000000" w:rsidDel="00000000" w:rsidP="00000000" w:rsidRDefault="00000000" w:rsidRPr="00000000" w14:paraId="00000034">
      <w:pPr>
        <w:shd w:fill="ffffff" w:val="clear"/>
        <w:spacing w:after="240" w:lineRule="auto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2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040"/>
        <w:gridCol w:w="1470"/>
        <w:gridCol w:w="1695"/>
        <w:tblGridChange w:id="0">
          <w:tblGrid>
            <w:gridCol w:w="5040"/>
            <w:gridCol w:w="1470"/>
            <w:gridCol w:w="169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Origen del Dinero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Importe (€)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Porcentaje (%)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Dinero Público (Contratos/Subvenciones)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14.999,00 €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48,51%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Dinero Privado (Aportaciones/Patrocinios)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15.920,00 €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51,49%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Total Percibido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30.919,00 €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041">
      <w:pPr>
        <w:shd w:fill="ffffff" w:val="clear"/>
        <w:spacing w:after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after="240" w:lineRule="auto"/>
        <w:ind w:left="0" w:firstLine="0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hd w:fill="ffffff" w:val="clear"/>
        <w:spacing w:after="120" w:before="420" w:line="360" w:lineRule="auto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bookmarkStart w:colFirst="0" w:colLast="0" w:name="_ygzv14wtsj61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Gráfica de Origen de Fondos 2022: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after="240" w:lineRule="auto"/>
        <w:ind w:left="0" w:firstLine="0"/>
        <w:jc w:val="center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</w:rPr>
        <w:drawing>
          <wp:inline distB="114300" distT="114300" distL="114300" distR="114300">
            <wp:extent cx="4480088" cy="3360066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80088" cy="33600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after="240" w:lineRule="auto"/>
        <w:ind w:left="0" w:firstLine="0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after="240" w:lineRule="auto"/>
        <w:ind w:left="0" w:firstLine="0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Año 2023: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spacing w:after="240" w:lineRule="auto"/>
        <w:ind w:firstLine="720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Basado en la memoria económica del ejercicio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2023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de 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Fundación Canaria Nos Movemos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, aquí se muestra el análisis de los fondos percibidos durante su primer año de actividad (del 1 de enero al 31 de diciembre de 2023):</w:t>
      </w:r>
    </w:p>
    <w:p w:rsidR="00000000" w:rsidDel="00000000" w:rsidP="00000000" w:rsidRDefault="00000000" w:rsidRPr="00000000" w14:paraId="0000004A">
      <w:pPr>
        <w:shd w:fill="ffffff" w:val="clear"/>
        <w:spacing w:after="240" w:lineRule="auto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Recursos Económicos Percibidos en 2023:</w:t>
      </w:r>
    </w:p>
    <w:p w:rsidR="00000000" w:rsidDel="00000000" w:rsidP="00000000" w:rsidRDefault="00000000" w:rsidRPr="00000000" w14:paraId="0000004B">
      <w:pPr>
        <w:shd w:fill="ffffff" w:val="clear"/>
        <w:spacing w:after="240" w:lineRule="auto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7485.0" w:type="dxa"/>
        <w:jc w:val="left"/>
        <w:tblInd w:w="6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185"/>
        <w:gridCol w:w="1605"/>
        <w:gridCol w:w="1695"/>
        <w:tblGridChange w:id="0">
          <w:tblGrid>
            <w:gridCol w:w="4185"/>
            <w:gridCol w:w="1605"/>
            <w:gridCol w:w="1695"/>
          </w:tblGrid>
        </w:tblGridChange>
      </w:tblGrid>
      <w:tr>
        <w:trPr>
          <w:cantSplit w:val="0"/>
          <w:trHeight w:val="1014.4775390625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hd w:fill="ffffff" w:val="clear"/>
              <w:spacing w:after="480" w:lineRule="auto"/>
              <w:jc w:val="center"/>
              <w:rPr>
                <w:b w:val="1"/>
                <w:bCs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0"/>
                <w:szCs w:val="20"/>
                <w:rtl w:val="0"/>
              </w:rPr>
              <w:t xml:space="preserve">Origen del Dinero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hd w:fill="ffffff" w:val="clear"/>
              <w:spacing w:after="480" w:lineRule="auto"/>
              <w:jc w:val="center"/>
              <w:rPr>
                <w:b w:val="1"/>
                <w:bCs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0"/>
                <w:szCs w:val="20"/>
                <w:rtl w:val="0"/>
              </w:rPr>
              <w:t xml:space="preserve">Importe (€)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hd w:fill="ffffff" w:val="clear"/>
              <w:spacing w:after="480" w:lineRule="auto"/>
              <w:jc w:val="center"/>
              <w:rPr>
                <w:b w:val="1"/>
                <w:bCs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0"/>
                <w:szCs w:val="20"/>
                <w:rtl w:val="0"/>
              </w:rPr>
              <w:t xml:space="preserve">Porcentaje (%)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hd w:fill="ffffff" w:val="clear"/>
              <w:spacing w:after="480" w:lineRule="auto"/>
              <w:jc w:val="center"/>
              <w:rPr>
                <w:b w:val="1"/>
                <w:bCs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0"/>
                <w:szCs w:val="20"/>
                <w:rtl w:val="0"/>
              </w:rPr>
              <w:t xml:space="preserve">Dinero Privado (Aportaciones)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hd w:fill="ffffff" w:val="clear"/>
              <w:spacing w:after="480" w:lineRule="auto"/>
              <w:jc w:val="center"/>
              <w:rPr>
                <w:b w:val="1"/>
                <w:bCs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0"/>
                <w:szCs w:val="20"/>
                <w:rtl w:val="0"/>
              </w:rPr>
              <w:t xml:space="preserve">265.039,98 €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hd w:fill="ffffff" w:val="clear"/>
              <w:spacing w:after="480" w:lineRule="auto"/>
              <w:jc w:val="center"/>
              <w:rPr>
                <w:b w:val="1"/>
                <w:bCs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0"/>
                <w:szCs w:val="20"/>
                <w:rtl w:val="0"/>
              </w:rPr>
              <w:t xml:space="preserve">89,05 %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hd w:fill="ffffff" w:val="clear"/>
              <w:spacing w:after="480" w:lineRule="auto"/>
              <w:jc w:val="center"/>
              <w:rPr>
                <w:b w:val="1"/>
                <w:bCs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0"/>
                <w:szCs w:val="20"/>
                <w:rtl w:val="0"/>
              </w:rPr>
              <w:t xml:space="preserve">Dinero Público (Subvenciones y Contratos)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hd w:fill="ffffff" w:val="clear"/>
              <w:spacing w:after="480" w:lineRule="auto"/>
              <w:jc w:val="center"/>
              <w:rPr>
                <w:b w:val="1"/>
                <w:bCs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0"/>
                <w:szCs w:val="20"/>
                <w:rtl w:val="0"/>
              </w:rPr>
              <w:t xml:space="preserve">32.604,65 €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hd w:fill="ffffff" w:val="clear"/>
              <w:spacing w:after="480" w:lineRule="auto"/>
              <w:jc w:val="center"/>
              <w:rPr>
                <w:b w:val="1"/>
                <w:bCs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0"/>
                <w:szCs w:val="20"/>
                <w:rtl w:val="0"/>
              </w:rPr>
              <w:t xml:space="preserve">10,95 %</w:t>
            </w:r>
          </w:p>
        </w:tc>
      </w:tr>
      <w:tr>
        <w:trPr>
          <w:cantSplit w:val="0"/>
          <w:trHeight w:val="1014.4775390625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hd w:fill="ffffff" w:val="clear"/>
              <w:spacing w:after="480" w:lineRule="auto"/>
              <w:jc w:val="center"/>
              <w:rPr>
                <w:b w:val="1"/>
                <w:bCs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0"/>
                <w:szCs w:val="20"/>
                <w:rtl w:val="0"/>
              </w:rPr>
              <w:t xml:space="preserve">Total Percibido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hd w:fill="ffffff" w:val="clear"/>
              <w:spacing w:after="480" w:lineRule="auto"/>
              <w:jc w:val="center"/>
              <w:rPr>
                <w:b w:val="1"/>
                <w:bCs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0"/>
                <w:szCs w:val="20"/>
                <w:rtl w:val="0"/>
              </w:rPr>
              <w:t xml:space="preserve">297.644,63 €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hd w:fill="ffffff" w:val="clear"/>
              <w:spacing w:after="480" w:lineRule="auto"/>
              <w:jc w:val="center"/>
              <w:rPr>
                <w:b w:val="1"/>
                <w:bCs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1f1f1f"/>
                <w:sz w:val="20"/>
                <w:szCs w:val="20"/>
                <w:rtl w:val="0"/>
              </w:rPr>
              <w:t xml:space="preserve">100 %</w:t>
            </w:r>
          </w:p>
        </w:tc>
      </w:tr>
    </w:tbl>
    <w:p w:rsidR="00000000" w:rsidDel="00000000" w:rsidP="00000000" w:rsidRDefault="00000000" w:rsidRPr="00000000" w14:paraId="00000058">
      <w:pPr>
        <w:shd w:fill="ffffff" w:val="clear"/>
        <w:spacing w:after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3"/>
        <w:keepNext w:val="0"/>
        <w:keepLines w:val="0"/>
        <w:shd w:fill="ffffff" w:val="clear"/>
        <w:spacing w:after="120" w:before="420" w:line="360" w:lineRule="auto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bookmarkStart w:colFirst="0" w:colLast="0" w:name="_36ftfhs6oybl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Gráfica de Origen de Fondos 2023: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4530145" cy="3573684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30145" cy="35736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Año 2024:</w:t>
      </w:r>
    </w:p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spacing w:after="240" w:lineRule="auto"/>
        <w:ind w:firstLine="720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Basado en la memoria económica del ejercicio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2024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de 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Fundación Canaria Nos Movemos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, aquí se muestra el análisis de los fondos percibidos durante su primer año de actividad (del 1 de enero al 31 de diciembre de 2024):</w:t>
      </w:r>
    </w:p>
    <w:p w:rsidR="00000000" w:rsidDel="00000000" w:rsidP="00000000" w:rsidRDefault="00000000" w:rsidRPr="00000000" w14:paraId="00000062">
      <w:pPr>
        <w:shd w:fill="ffffff" w:val="clear"/>
        <w:spacing w:after="240" w:lineRule="auto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spacing w:after="240" w:lineRule="auto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Recursos Económicos Percibidos en 2024:</w:t>
      </w:r>
    </w:p>
    <w:p w:rsidR="00000000" w:rsidDel="00000000" w:rsidP="00000000" w:rsidRDefault="00000000" w:rsidRPr="00000000" w14:paraId="00000064">
      <w:pPr>
        <w:shd w:fill="ffffff" w:val="clear"/>
        <w:spacing w:after="240" w:lineRule="auto"/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6570.0" w:type="dxa"/>
        <w:jc w:val="left"/>
        <w:tblInd w:w="48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70"/>
        <w:gridCol w:w="1605"/>
        <w:gridCol w:w="1695"/>
        <w:tblGridChange w:id="0">
          <w:tblGrid>
            <w:gridCol w:w="3270"/>
            <w:gridCol w:w="1605"/>
            <w:gridCol w:w="169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0"/>
                <w:szCs w:val="20"/>
                <w:rtl w:val="0"/>
              </w:rPr>
              <w:t xml:space="preserve">Origen del Dinero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0"/>
                <w:szCs w:val="20"/>
                <w:rtl w:val="0"/>
              </w:rPr>
              <w:t xml:space="preserve">Importe (€)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0"/>
                <w:szCs w:val="20"/>
                <w:rtl w:val="0"/>
              </w:rPr>
              <w:t xml:space="preserve">Porcentaje (%)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0"/>
                <w:szCs w:val="20"/>
                <w:rtl w:val="0"/>
              </w:rPr>
              <w:t xml:space="preserve">Dinero Privado (Donaciones)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0"/>
                <w:szCs w:val="20"/>
                <w:rtl w:val="0"/>
              </w:rPr>
              <w:t xml:space="preserve">417.346,76 €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0"/>
                <w:szCs w:val="20"/>
                <w:rtl w:val="0"/>
              </w:rPr>
              <w:t xml:space="preserve">74,25%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0"/>
                <w:szCs w:val="20"/>
                <w:rtl w:val="0"/>
              </w:rPr>
              <w:t xml:space="preserve">Dinero Público (Subvenciones)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0"/>
                <w:szCs w:val="20"/>
                <w:rtl w:val="0"/>
              </w:rPr>
              <w:t xml:space="preserve">144.766,76 €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0"/>
                <w:szCs w:val="20"/>
                <w:rtl w:val="0"/>
              </w:rPr>
              <w:t xml:space="preserve">25,75%</w:t>
            </w:r>
          </w:p>
        </w:tc>
      </w:tr>
      <w:tr>
        <w:trPr>
          <w:cantSplit w:val="0"/>
          <w:trHeight w:val="1022.373046875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0"/>
                <w:szCs w:val="20"/>
                <w:rtl w:val="0"/>
              </w:rPr>
              <w:t xml:space="preserve">Total Percibido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0"/>
                <w:szCs w:val="20"/>
                <w:rtl w:val="0"/>
              </w:rPr>
              <w:t xml:space="preserve">562.113,52 €</w:t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0"/>
                <w:szCs w:val="20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071">
      <w:pPr>
        <w:pStyle w:val="Heading3"/>
        <w:keepNext w:val="0"/>
        <w:keepLines w:val="0"/>
        <w:shd w:fill="ffffff" w:val="clear"/>
        <w:spacing w:before="0" w:lineRule="auto"/>
        <w:rPr>
          <w:rFonts w:ascii="Times New Roman" w:cs="Times New Roman" w:eastAsia="Times New Roman" w:hAnsi="Times New Roman"/>
          <w:b w:val="1"/>
          <w:bCs w:val="1"/>
          <w:color w:val="1f1f1f"/>
          <w:sz w:val="26"/>
          <w:szCs w:val="26"/>
        </w:rPr>
      </w:pPr>
      <w:bookmarkStart w:colFirst="0" w:colLast="0" w:name="_y9igdoecw69q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hd w:fill="ffffff" w:val="clear"/>
        <w:spacing w:after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</w:rPr>
        <w:drawing>
          <wp:inline distB="114300" distT="114300" distL="114300" distR="114300">
            <wp:extent cx="4630575" cy="3343275"/>
            <wp:effectExtent b="0" l="0" r="0" t="0"/>
            <wp:docPr id="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30575" cy="3343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Año 2025:</w:t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hd w:fill="ffffff" w:val="clear"/>
        <w:spacing w:after="240" w:lineRule="auto"/>
        <w:ind w:firstLine="720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Basado en la memoria económica del ejercicio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2025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 de 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1f1f"/>
          <w:sz w:val="24"/>
          <w:szCs w:val="24"/>
          <w:rtl w:val="0"/>
        </w:rPr>
        <w:t xml:space="preserve">Fundación Canaria Nos Movemos</w:t>
      </w: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  <w:rtl w:val="0"/>
        </w:rPr>
        <w:t xml:space="preserve">, aquí se muestra el análisis de los fondos percibidos durante su primer año de actividad (del 1 de enero al 31 de diciembre de 2025):</w:t>
      </w:r>
    </w:p>
    <w:p w:rsidR="00000000" w:rsidDel="00000000" w:rsidP="00000000" w:rsidRDefault="00000000" w:rsidRPr="00000000" w14:paraId="00000077">
      <w:pPr>
        <w:shd w:fill="ffffff" w:val="clear"/>
        <w:spacing w:after="240" w:lineRule="auto"/>
        <w:ind w:firstLine="720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65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85"/>
        <w:gridCol w:w="1605"/>
        <w:gridCol w:w="1695"/>
        <w:tblGridChange w:id="0">
          <w:tblGrid>
            <w:gridCol w:w="3285"/>
            <w:gridCol w:w="1605"/>
            <w:gridCol w:w="169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Origen del Dinero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Importe (€)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shd w:fill="efefef" w:val="clear"/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Porcentaje (%)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Dinero Público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457.025,36 €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70,31%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Dinero Privado (Calculado)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192.985,55 €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29,69%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Total Percibido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650.010,91 €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f1f1f" w:space="0" w:sz="5" w:val="single"/>
              <w:left w:color="1f1f1f" w:space="0" w:sz="5" w:val="single"/>
              <w:bottom w:color="1f1f1f" w:space="0" w:sz="5" w:val="single"/>
              <w:right w:color="1f1f1f" w:space="0" w:sz="5" w:val="single"/>
            </w:tcBorders>
            <w:tcMar>
              <w:top w:w="240.0" w:type="dxa"/>
              <w:left w:w="0.0" w:type="dxa"/>
              <w:bottom w:w="2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hd w:fill="ffffff" w:val="clear"/>
              <w:spacing w:after="480" w:lineRule="auto"/>
              <w:rPr>
                <w:rFonts w:ascii="Times New Roman" w:cs="Times New Roman" w:eastAsia="Times New Roman" w:hAnsi="Times New Roman"/>
                <w:color w:val="1f1f1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f1f1f"/>
                <w:sz w:val="24"/>
                <w:szCs w:val="24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shd w:fill="ffffff" w:val="clear"/>
        <w:spacing w:after="240" w:lineRule="auto"/>
        <w:ind w:left="0" w:firstLine="0"/>
        <w:jc w:val="center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hd w:fill="ffffff" w:val="clear"/>
        <w:spacing w:after="240" w:lineRule="auto"/>
        <w:ind w:left="0" w:firstLine="0"/>
        <w:jc w:val="center"/>
        <w:rPr>
          <w:rFonts w:ascii="Times New Roman" w:cs="Times New Roman" w:eastAsia="Times New Roman" w:hAnsi="Times New Roman"/>
          <w:color w:val="1f1f1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f1f1f"/>
          <w:sz w:val="24"/>
          <w:szCs w:val="24"/>
        </w:rPr>
        <w:drawing>
          <wp:inline distB="114300" distT="114300" distL="114300" distR="114300">
            <wp:extent cx="4997288" cy="3371850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97288" cy="3371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2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700213" cy="723014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0213" cy="72301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7.png"/><Relationship Id="rId12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